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B6" w:rsidRPr="00FE40B6" w:rsidRDefault="00FE40B6" w:rsidP="00FE40B6">
      <w:pPr>
        <w:widowControl w:val="0"/>
        <w:autoSpaceDE w:val="0"/>
        <w:autoSpaceDN w:val="0"/>
        <w:spacing w:before="120" w:after="120" w:line="360" w:lineRule="auto"/>
        <w:ind w:left="224" w:right="98" w:firstLine="13"/>
        <w:jc w:val="center"/>
        <w:rPr>
          <w:rFonts w:eastAsia="Times New Roman" w:cstheme="minorHAnsi"/>
          <w:b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b/>
          <w:w w:val="95"/>
          <w:sz w:val="24"/>
          <w:szCs w:val="24"/>
          <w:lang w:val="pt-PT"/>
        </w:rPr>
        <w:t>Declaração da alínea</w:t>
      </w:r>
      <w:r w:rsidR="006D15FC">
        <w:rPr>
          <w:rFonts w:eastAsia="Times New Roman" w:cstheme="minorHAnsi"/>
          <w:b/>
          <w:w w:val="95"/>
          <w:sz w:val="24"/>
          <w:szCs w:val="24"/>
          <w:lang w:val="pt-PT"/>
        </w:rPr>
        <w:t xml:space="preserve"> f</w:t>
      </w:r>
      <w:r w:rsidRPr="00FE40B6">
        <w:rPr>
          <w:rFonts w:eastAsia="Times New Roman" w:cstheme="minorHAnsi"/>
          <w:b/>
          <w:w w:val="95"/>
          <w:sz w:val="24"/>
          <w:szCs w:val="24"/>
          <w:lang w:val="pt-PT"/>
        </w:rPr>
        <w:t>) do Anexo 2 do Aviso de Publicitação n.º 01/CO2‐i01/2021</w:t>
      </w:r>
    </w:p>
    <w:p w:rsidR="00FE40B6" w:rsidRDefault="00FE40B6" w:rsidP="00FE40B6">
      <w:pPr>
        <w:widowControl w:val="0"/>
        <w:autoSpaceDE w:val="0"/>
        <w:autoSpaceDN w:val="0"/>
        <w:spacing w:before="120" w:after="120" w:line="360" w:lineRule="auto"/>
        <w:ind w:left="224" w:right="98" w:firstLine="13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Default="00FE40B6" w:rsidP="005E69DA">
      <w:pPr>
        <w:widowControl w:val="0"/>
        <w:autoSpaceDE w:val="0"/>
        <w:autoSpaceDN w:val="0"/>
        <w:spacing w:before="60" w:after="60" w:line="300" w:lineRule="atLeast"/>
        <w:ind w:left="224" w:right="98" w:firstLine="1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2D1FA6">
        <w:rPr>
          <w:rFonts w:eastAsia="Times New Roman" w:cstheme="minorHAnsi"/>
          <w:w w:val="95"/>
          <w:sz w:val="24"/>
          <w:szCs w:val="24"/>
          <w:lang w:val="pt-PT"/>
        </w:rPr>
        <w:t>O</w:t>
      </w:r>
      <w:r>
        <w:rPr>
          <w:rFonts w:eastAsia="Times New Roman" w:cstheme="minorHAnsi"/>
          <w:w w:val="95"/>
          <w:sz w:val="24"/>
          <w:szCs w:val="24"/>
          <w:lang w:val="pt-PT"/>
        </w:rPr>
        <w:t>/A</w:t>
      </w:r>
      <w:r w:rsidRPr="002D1FA6">
        <w:rPr>
          <w:rFonts w:eastAsia="Times New Roman" w:cstheme="minorHAnsi"/>
          <w:w w:val="95"/>
          <w:sz w:val="24"/>
          <w:szCs w:val="24"/>
          <w:lang w:val="pt-PT"/>
        </w:rPr>
        <w:t xml:space="preserve"> _______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(nome da entidade)</w:t>
      </w:r>
      <w:r w:rsidRPr="002D1FA6">
        <w:rPr>
          <w:rFonts w:eastAsia="Times New Roman" w:cstheme="minorHAnsi"/>
          <w:w w:val="95"/>
          <w:sz w:val="24"/>
          <w:szCs w:val="24"/>
          <w:lang w:val="pt-PT"/>
        </w:rPr>
        <w:t>, representado por _______________, na qualidade de ___________, DECLARA</w:t>
      </w:r>
      <w:r>
        <w:rPr>
          <w:rFonts w:eastAsia="Times New Roman" w:cstheme="minorHAnsi"/>
          <w:w w:val="95"/>
          <w:sz w:val="24"/>
          <w:szCs w:val="24"/>
          <w:lang w:val="pt-PT"/>
        </w:rPr>
        <w:t>,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no âmbito da candidatura designada por _______________, </w:t>
      </w:r>
      <w:r w:rsidR="00284B24">
        <w:rPr>
          <w:rFonts w:eastAsia="Times New Roman" w:cstheme="minorHAnsi"/>
          <w:w w:val="95"/>
          <w:sz w:val="24"/>
          <w:szCs w:val="24"/>
          <w:lang w:val="pt-PT"/>
        </w:rPr>
        <w:t xml:space="preserve">ao abrigo do </w:t>
      </w:r>
      <w:r w:rsidR="00284B24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Programa de Apoio ao Acesso à Habitação objeto do Investimento RE-C02-i01 do </w:t>
      </w:r>
      <w:r w:rsidR="00284B24" w:rsidRPr="00DD44C4">
        <w:rPr>
          <w:rFonts w:eastAsia="Times New Roman" w:cstheme="minorHAnsi"/>
          <w:w w:val="95"/>
          <w:sz w:val="24"/>
          <w:szCs w:val="24"/>
          <w:lang w:val="pt-PT"/>
        </w:rPr>
        <w:t>Plano de Recuperação e Resiliência</w:t>
      </w:r>
      <w:r w:rsidR="00284B24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="00284B24">
        <w:rPr>
          <w:rFonts w:eastAsia="Times New Roman" w:cstheme="minorHAnsi"/>
          <w:w w:val="95"/>
          <w:sz w:val="24"/>
          <w:szCs w:val="24"/>
          <w:lang w:val="pt-PT"/>
        </w:rPr>
        <w:t>(</w:t>
      </w:r>
      <w:r w:rsidR="00284B24" w:rsidRPr="00FE40B6">
        <w:rPr>
          <w:rFonts w:eastAsia="Times New Roman" w:cstheme="minorHAnsi"/>
          <w:w w:val="95"/>
          <w:sz w:val="24"/>
          <w:szCs w:val="24"/>
          <w:lang w:val="pt-PT"/>
        </w:rPr>
        <w:t>PRR</w:t>
      </w:r>
      <w:r w:rsidR="00284B24">
        <w:rPr>
          <w:rFonts w:eastAsia="Times New Roman" w:cstheme="minorHAnsi"/>
          <w:w w:val="95"/>
          <w:sz w:val="24"/>
          <w:szCs w:val="24"/>
          <w:lang w:val="pt-PT"/>
        </w:rPr>
        <w:t xml:space="preserve">), 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>para efeitos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da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>alínea</w:t>
      </w:r>
      <w:r w:rsidR="006D15FC">
        <w:rPr>
          <w:rFonts w:eastAsia="Times New Roman" w:cstheme="minorHAnsi"/>
          <w:w w:val="95"/>
          <w:sz w:val="24"/>
          <w:szCs w:val="24"/>
          <w:lang w:val="pt-PT"/>
        </w:rPr>
        <w:t xml:space="preserve"> f</w:t>
      </w:r>
      <w:r w:rsidRPr="00FE40B6">
        <w:rPr>
          <w:rFonts w:eastAsia="Times New Roman" w:cstheme="minorHAnsi"/>
          <w:w w:val="95"/>
          <w:sz w:val="24"/>
          <w:szCs w:val="24"/>
          <w:lang w:val="pt-PT"/>
        </w:rPr>
        <w:t>) do Anexo 2 do Aviso de Publicitação n.º 01/CO2‐i01/2021</w:t>
      </w:r>
      <w:r w:rsidRPr="00FD2B9C">
        <w:rPr>
          <w:rFonts w:eastAsia="Times New Roman" w:cstheme="minorHAnsi"/>
          <w:w w:val="95"/>
          <w:sz w:val="24"/>
          <w:szCs w:val="24"/>
          <w:lang w:val="pt-PT"/>
        </w:rPr>
        <w:t xml:space="preserve">, que </w:t>
      </w:r>
      <w:r w:rsidR="006D15FC">
        <w:rPr>
          <w:rFonts w:eastAsia="Times New Roman" w:cstheme="minorHAnsi"/>
          <w:w w:val="95"/>
          <w:sz w:val="24"/>
          <w:szCs w:val="24"/>
          <w:lang w:val="pt-PT"/>
        </w:rPr>
        <w:t>se compromete a</w:t>
      </w:r>
      <w:r>
        <w:rPr>
          <w:rFonts w:eastAsia="Times New Roman" w:cstheme="minorHAnsi"/>
          <w:w w:val="95"/>
          <w:sz w:val="24"/>
          <w:szCs w:val="24"/>
          <w:lang w:val="pt-PT"/>
        </w:rPr>
        <w:t>:</w:t>
      </w:r>
    </w:p>
    <w:p w:rsidR="006D15FC" w:rsidRPr="006D15FC" w:rsidRDefault="006D15FC" w:rsidP="005E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atLeast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6D15FC">
        <w:rPr>
          <w:rFonts w:eastAsia="Times New Roman" w:cstheme="minorHAnsi"/>
          <w:w w:val="95"/>
          <w:sz w:val="24"/>
          <w:szCs w:val="24"/>
          <w:lang w:val="pt-PT"/>
        </w:rPr>
        <w:t>Assegurar a autenticidade e segurança da informação prestada, através de sistemas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de autenticação e assinatura eletrónica, nos termos do artigo 4.º da Portaria n.º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138-C/2021, de 30 de junho;</w:t>
      </w:r>
    </w:p>
    <w:p w:rsidR="006D15FC" w:rsidRPr="006D15FC" w:rsidRDefault="006D15FC" w:rsidP="005E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atLeast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6D15FC">
        <w:rPr>
          <w:rFonts w:eastAsia="Times New Roman" w:cstheme="minorHAnsi"/>
          <w:w w:val="95"/>
          <w:sz w:val="24"/>
          <w:szCs w:val="24"/>
          <w:lang w:val="pt-PT"/>
        </w:rPr>
        <w:t>Conservar os documentos relativos à realização dos investimentos financiados pelo</w:t>
      </w:r>
      <w:bookmarkStart w:id="0" w:name="_GoBack"/>
      <w:bookmarkEnd w:id="0"/>
      <w:r w:rsidR="005E69DA" w:rsidRPr="00FE40B6">
        <w:rPr>
          <w:rFonts w:eastAsia="Times New Roman" w:cstheme="minorHAnsi"/>
          <w:w w:val="95"/>
          <w:sz w:val="24"/>
          <w:szCs w:val="24"/>
          <w:lang w:val="pt-PT"/>
        </w:rPr>
        <w:t xml:space="preserve"> Programa de Apoio ao Acesso à Habitação objeto do Investimento RE-C02-i01 do PRR</w:t>
      </w:r>
      <w:r w:rsidR="005E69DA">
        <w:rPr>
          <w:rFonts w:eastAsia="Times New Roman" w:cstheme="minorHAnsi"/>
          <w:w w:val="95"/>
          <w:sz w:val="24"/>
          <w:szCs w:val="24"/>
          <w:lang w:val="pt-PT"/>
        </w:rPr>
        <w:t xml:space="preserve"> (adiante Programa)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, sob a forma de documentos originais ou de cópias autenticadas,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preferencialmente em suporte digital, durante o prazo de 6 anos;</w:t>
      </w:r>
    </w:p>
    <w:p w:rsidR="006D15FC" w:rsidRPr="006D15FC" w:rsidRDefault="006D15FC" w:rsidP="005E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atLeast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6D15FC">
        <w:rPr>
          <w:rFonts w:eastAsia="Times New Roman" w:cstheme="minorHAnsi"/>
          <w:w w:val="95"/>
          <w:sz w:val="24"/>
          <w:szCs w:val="24"/>
          <w:lang w:val="pt-PT"/>
        </w:rPr>
        <w:t>Autorizar o acesso, tratamento e divulgação dos dados necessários ao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cumprimento das regras de gestão e de monitorização das verbas do Programa e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das regras da transparência, bem como o acesso a bases de dados públicas,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designadamente do ficheiro nacional de pessoas coletivas do Instituto de Registos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e Notariado, I.P., dos dados da Autoridade Tributária e do sistema de dívidas à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Segurança Social, quando aplicável;</w:t>
      </w:r>
    </w:p>
    <w:p w:rsidR="006D15FC" w:rsidRPr="006D15FC" w:rsidRDefault="006D15FC" w:rsidP="005E69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300" w:lineRule="atLeast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6D15FC">
        <w:rPr>
          <w:rFonts w:eastAsia="Times New Roman" w:cstheme="minorHAnsi"/>
          <w:w w:val="95"/>
          <w:sz w:val="24"/>
          <w:szCs w:val="24"/>
          <w:lang w:val="pt-PT"/>
        </w:rPr>
        <w:t>Conferir à Procuradoria Europeia, ao OLAF, ao Tribunal de Contas, ao IHRU, I.P., e,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se for caso disso, às demais autoridades nacionais competentes, nos termos do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artigo 129.º do Regulamento (UE) 2017/1939 e do Regulamento (UE, Euratom) n.º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883/2013, ambos do Parlamento Europeu e do Conselho, os direitos e o acesso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necessários para que aquelas entidades exerçam de forma abrangente as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respetivas competências, incluindo, se for o caso:</w:t>
      </w:r>
    </w:p>
    <w:p w:rsidR="006D15FC" w:rsidRDefault="006D15FC" w:rsidP="005E69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300" w:lineRule="atLeast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6D15FC">
        <w:rPr>
          <w:rFonts w:eastAsia="Times New Roman" w:cstheme="minorHAnsi"/>
          <w:w w:val="95"/>
          <w:sz w:val="24"/>
          <w:szCs w:val="24"/>
          <w:lang w:val="pt-PT"/>
        </w:rPr>
        <w:t>Conferir os direitos de efetuar inquéritos e verificar e inspecionar no local a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realização física e financeira e a legalidade dos projetos aprovados e executados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por si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;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</w:p>
    <w:p w:rsidR="006D15FC" w:rsidRPr="006D15FC" w:rsidRDefault="006D15FC" w:rsidP="005E69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300" w:lineRule="atLeast"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6D15FC">
        <w:rPr>
          <w:rFonts w:eastAsia="Times New Roman" w:cstheme="minorHAnsi"/>
          <w:w w:val="95"/>
          <w:sz w:val="24"/>
          <w:szCs w:val="24"/>
          <w:lang w:val="pt-PT"/>
        </w:rPr>
        <w:t>Assegurar que os terceiros envolvidos na execução dos fundos do PRR concedem</w:t>
      </w:r>
      <w:r>
        <w:rPr>
          <w:rFonts w:eastAsia="Times New Roman" w:cstheme="minorHAnsi"/>
          <w:w w:val="95"/>
          <w:sz w:val="24"/>
          <w:szCs w:val="24"/>
          <w:lang w:val="pt-PT"/>
        </w:rPr>
        <w:t xml:space="preserve"> </w:t>
      </w:r>
      <w:r w:rsidRPr="006D15FC">
        <w:rPr>
          <w:rFonts w:eastAsia="Times New Roman" w:cstheme="minorHAnsi"/>
          <w:w w:val="95"/>
          <w:sz w:val="24"/>
          <w:szCs w:val="24"/>
          <w:lang w:val="pt-PT"/>
        </w:rPr>
        <w:t>àquelas entidades direitos e acesso equivalentes.</w:t>
      </w:r>
    </w:p>
    <w:p w:rsidR="006D15FC" w:rsidRDefault="006D15FC" w:rsidP="005E69DA">
      <w:pPr>
        <w:widowControl w:val="0"/>
        <w:autoSpaceDE w:val="0"/>
        <w:autoSpaceDN w:val="0"/>
        <w:spacing w:before="60" w:after="60" w:line="300" w:lineRule="atLeast"/>
        <w:ind w:left="224" w:right="98" w:firstLine="13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63164A" w:rsidRDefault="0063164A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3468C4" w:rsidRPr="00FE40B6" w:rsidRDefault="003468C4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Pr="00FE40B6" w:rsidRDefault="00FE40B6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Data e Local,</w:t>
      </w:r>
    </w:p>
    <w:p w:rsidR="00FE40B6" w:rsidRPr="00FE40B6" w:rsidRDefault="00FE40B6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Default="00FE40B6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3468C4" w:rsidRPr="00FE40B6" w:rsidRDefault="003468C4" w:rsidP="005E69DA">
      <w:pPr>
        <w:spacing w:before="60" w:after="60" w:line="300" w:lineRule="atLeast"/>
        <w:contextualSpacing/>
        <w:jc w:val="both"/>
        <w:rPr>
          <w:rFonts w:eastAsia="Times New Roman" w:cstheme="minorHAnsi"/>
          <w:w w:val="95"/>
          <w:sz w:val="24"/>
          <w:szCs w:val="24"/>
          <w:lang w:val="pt-PT"/>
        </w:rPr>
      </w:pPr>
    </w:p>
    <w:p w:rsidR="00FE40B6" w:rsidRPr="00FE40B6" w:rsidRDefault="00FE40B6" w:rsidP="005E69DA">
      <w:pPr>
        <w:spacing w:before="60" w:after="60" w:line="300" w:lineRule="atLeast"/>
        <w:contextualSpacing/>
        <w:jc w:val="center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Identificação da pessoa e da qualidade em que assina</w:t>
      </w:r>
    </w:p>
    <w:p w:rsidR="00FE40B6" w:rsidRPr="00FE40B6" w:rsidRDefault="00FE40B6" w:rsidP="005E69DA">
      <w:pPr>
        <w:spacing w:before="60" w:after="60" w:line="300" w:lineRule="atLeast"/>
        <w:contextualSpacing/>
        <w:jc w:val="center"/>
        <w:rPr>
          <w:rFonts w:eastAsia="Times New Roman" w:cstheme="minorHAnsi"/>
          <w:w w:val="95"/>
          <w:sz w:val="24"/>
          <w:szCs w:val="24"/>
          <w:lang w:val="pt-PT"/>
        </w:rPr>
      </w:pPr>
      <w:r w:rsidRPr="00FE40B6">
        <w:rPr>
          <w:rFonts w:eastAsia="Times New Roman" w:cstheme="minorHAnsi"/>
          <w:w w:val="95"/>
          <w:sz w:val="24"/>
          <w:szCs w:val="24"/>
          <w:lang w:val="pt-PT"/>
        </w:rPr>
        <w:t>(Assinatura digital ou conforme cc)</w:t>
      </w:r>
    </w:p>
    <w:p w:rsidR="00FE40B6" w:rsidRPr="00FE40B6" w:rsidRDefault="00FE40B6">
      <w:pPr>
        <w:rPr>
          <w:lang w:val="pt-PT"/>
        </w:rPr>
      </w:pPr>
    </w:p>
    <w:sectPr w:rsidR="00FE40B6" w:rsidRPr="00FE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DA" w:rsidRDefault="005E69DA" w:rsidP="005E69DA">
      <w:pPr>
        <w:spacing w:after="0" w:line="240" w:lineRule="auto"/>
      </w:pPr>
      <w:r>
        <w:separator/>
      </w:r>
    </w:p>
  </w:endnote>
  <w:endnote w:type="continuationSeparator" w:id="0">
    <w:p w:rsidR="005E69DA" w:rsidRDefault="005E69DA" w:rsidP="005E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DA" w:rsidRDefault="005E69DA" w:rsidP="005E69DA">
      <w:pPr>
        <w:spacing w:after="0" w:line="240" w:lineRule="auto"/>
      </w:pPr>
      <w:r>
        <w:separator/>
      </w:r>
    </w:p>
  </w:footnote>
  <w:footnote w:type="continuationSeparator" w:id="0">
    <w:p w:rsidR="005E69DA" w:rsidRDefault="005E69DA" w:rsidP="005E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14F"/>
    <w:multiLevelType w:val="hybridMultilevel"/>
    <w:tmpl w:val="07FCA1E6"/>
    <w:lvl w:ilvl="0" w:tplc="95A45F8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439"/>
    <w:multiLevelType w:val="hybridMultilevel"/>
    <w:tmpl w:val="C3E601D8"/>
    <w:lvl w:ilvl="0" w:tplc="953CC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C17F5C"/>
    <w:multiLevelType w:val="hybridMultilevel"/>
    <w:tmpl w:val="9620B23E"/>
    <w:lvl w:ilvl="0" w:tplc="95A45F8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6"/>
    <w:rsid w:val="00284B24"/>
    <w:rsid w:val="003468C4"/>
    <w:rsid w:val="005E69DA"/>
    <w:rsid w:val="0063164A"/>
    <w:rsid w:val="006D15FC"/>
    <w:rsid w:val="00B85C08"/>
    <w:rsid w:val="00E26D08"/>
    <w:rsid w:val="00EA1140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46E8-AA9B-4C40-B35F-7944424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DA"/>
  </w:style>
  <w:style w:type="paragraph" w:styleId="Footer">
    <w:name w:val="footer"/>
    <w:basedOn w:val="Normal"/>
    <w:link w:val="FooterChar"/>
    <w:uiPriority w:val="99"/>
    <w:unhideWhenUsed/>
    <w:rsid w:val="005E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Almeida Teixeira</dc:creator>
  <cp:keywords/>
  <dc:description/>
  <cp:lastModifiedBy>Marta Almeida Teixeira</cp:lastModifiedBy>
  <cp:revision>5</cp:revision>
  <dcterms:created xsi:type="dcterms:W3CDTF">2021-11-08T12:23:00Z</dcterms:created>
  <dcterms:modified xsi:type="dcterms:W3CDTF">2021-11-08T12:45:00Z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